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67" w:rsidRPr="005E05BB" w:rsidRDefault="00CC3E67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(da compilare a cura di ciascun soggetto proponente che non sia </w:t>
      </w:r>
      <w:r w:rsidR="005E05BB" w:rsidRPr="005E05BB">
        <w:rPr>
          <w:rFonts w:ascii="Times New Roman" w:hAnsi="Times New Roman" w:cs="Times New Roman"/>
          <w:sz w:val="24"/>
          <w:szCs w:val="24"/>
        </w:rPr>
        <w:t>un “</w:t>
      </w:r>
      <w:r w:rsidRPr="005E05BB">
        <w:rPr>
          <w:rFonts w:ascii="Times New Roman" w:hAnsi="Times New Roman" w:cs="Times New Roman"/>
          <w:sz w:val="24"/>
          <w:szCs w:val="24"/>
        </w:rPr>
        <w:t>gruppo informale</w:t>
      </w:r>
      <w:r w:rsidR="005E05BB" w:rsidRPr="005E05BB">
        <w:rPr>
          <w:rFonts w:ascii="Times New Roman" w:hAnsi="Times New Roman" w:cs="Times New Roman"/>
          <w:sz w:val="24"/>
          <w:szCs w:val="24"/>
        </w:rPr>
        <w:t>”</w:t>
      </w:r>
      <w:r w:rsidRPr="005E05BB">
        <w:rPr>
          <w:rFonts w:ascii="Times New Roman" w:hAnsi="Times New Roman" w:cs="Times New Roman"/>
          <w:sz w:val="24"/>
          <w:szCs w:val="24"/>
        </w:rPr>
        <w:t>)</w:t>
      </w: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Il/la sottoscritto ___</w:t>
      </w:r>
      <w:r w:rsidR="005E05BB">
        <w:rPr>
          <w:rFonts w:ascii="Times New Roman" w:hAnsi="Times New Roman" w:cs="Times New Roman"/>
          <w:sz w:val="24"/>
          <w:szCs w:val="24"/>
        </w:rPr>
        <w:t>______________________</w:t>
      </w:r>
      <w:r w:rsidRPr="005E05BB">
        <w:rPr>
          <w:rFonts w:ascii="Times New Roman" w:hAnsi="Times New Roman" w:cs="Times New Roman"/>
          <w:sz w:val="24"/>
          <w:szCs w:val="24"/>
        </w:rPr>
        <w:t>_______</w:t>
      </w:r>
      <w:r w:rsidR="00AD18FB" w:rsidRPr="005E05BB">
        <w:rPr>
          <w:rFonts w:ascii="Times New Roman" w:hAnsi="Times New Roman" w:cs="Times New Roman"/>
          <w:sz w:val="24"/>
          <w:szCs w:val="24"/>
        </w:rPr>
        <w:t>____________________________</w:t>
      </w:r>
      <w:r w:rsidRPr="005E05BB">
        <w:rPr>
          <w:rFonts w:ascii="Times New Roman" w:hAnsi="Times New Roman" w:cs="Times New Roman"/>
          <w:sz w:val="24"/>
          <w:szCs w:val="24"/>
        </w:rPr>
        <w:t xml:space="preserve"> nato a </w:t>
      </w:r>
      <w:r w:rsidR="00AD18FB" w:rsidRPr="005E05BB">
        <w:rPr>
          <w:rFonts w:ascii="Times New Roman" w:hAnsi="Times New Roman" w:cs="Times New Roman"/>
          <w:sz w:val="24"/>
          <w:szCs w:val="24"/>
        </w:rPr>
        <w:t>_________</w:t>
      </w:r>
      <w:r w:rsidR="005E05BB">
        <w:rPr>
          <w:rFonts w:ascii="Times New Roman" w:hAnsi="Times New Roman" w:cs="Times New Roman"/>
          <w:sz w:val="24"/>
          <w:szCs w:val="24"/>
        </w:rPr>
        <w:t>___</w:t>
      </w:r>
      <w:r w:rsidR="00AD18FB" w:rsidRPr="005E05BB">
        <w:rPr>
          <w:rFonts w:ascii="Times New Roman" w:hAnsi="Times New Roman" w:cs="Times New Roman"/>
          <w:sz w:val="24"/>
          <w:szCs w:val="24"/>
        </w:rPr>
        <w:t>___</w:t>
      </w:r>
      <w:r w:rsidRPr="005E05BB">
        <w:rPr>
          <w:rFonts w:ascii="Times New Roman" w:hAnsi="Times New Roman" w:cs="Times New Roman"/>
          <w:sz w:val="24"/>
          <w:szCs w:val="24"/>
        </w:rPr>
        <w:t>__________________ e residente in ____</w:t>
      </w:r>
      <w:r w:rsidR="005E05BB">
        <w:rPr>
          <w:rFonts w:ascii="Times New Roman" w:hAnsi="Times New Roman" w:cs="Times New Roman"/>
          <w:sz w:val="24"/>
          <w:szCs w:val="24"/>
        </w:rPr>
        <w:t>______</w:t>
      </w:r>
      <w:r w:rsidRPr="005E05BB">
        <w:rPr>
          <w:rFonts w:ascii="Times New Roman" w:hAnsi="Times New Roman" w:cs="Times New Roman"/>
          <w:sz w:val="24"/>
          <w:szCs w:val="24"/>
        </w:rPr>
        <w:t>____________</w:t>
      </w:r>
      <w:r w:rsidR="006E6F9E" w:rsidRPr="005E05BB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5E05BB">
        <w:rPr>
          <w:rFonts w:ascii="Times New Roman" w:hAnsi="Times New Roman" w:cs="Times New Roman"/>
          <w:sz w:val="24"/>
          <w:szCs w:val="24"/>
        </w:rPr>
        <w:t xml:space="preserve">(______) </w:t>
      </w:r>
      <w:r w:rsidR="005E05BB">
        <w:rPr>
          <w:rFonts w:ascii="Times New Roman" w:hAnsi="Times New Roman" w:cs="Times New Roman"/>
          <w:sz w:val="24"/>
          <w:szCs w:val="24"/>
        </w:rPr>
        <w:t>V</w:t>
      </w:r>
      <w:r w:rsidRPr="005E05BB">
        <w:rPr>
          <w:rFonts w:ascii="Times New Roman" w:hAnsi="Times New Roman" w:cs="Times New Roman"/>
          <w:sz w:val="24"/>
          <w:szCs w:val="24"/>
        </w:rPr>
        <w:t xml:space="preserve">ia </w:t>
      </w:r>
      <w:r w:rsidR="00AD18FB" w:rsidRPr="005E05BB">
        <w:rPr>
          <w:rFonts w:ascii="Times New Roman" w:hAnsi="Times New Roman" w:cs="Times New Roman"/>
          <w:sz w:val="24"/>
          <w:szCs w:val="24"/>
        </w:rPr>
        <w:t>___</w:t>
      </w:r>
      <w:r w:rsidRPr="005E05BB">
        <w:rPr>
          <w:rFonts w:ascii="Times New Roman" w:hAnsi="Times New Roman" w:cs="Times New Roman"/>
          <w:sz w:val="24"/>
          <w:szCs w:val="24"/>
        </w:rPr>
        <w:t>________</w:t>
      </w:r>
      <w:r w:rsidR="006E6F9E" w:rsidRPr="005E05BB">
        <w:rPr>
          <w:rFonts w:ascii="Times New Roman" w:hAnsi="Times New Roman" w:cs="Times New Roman"/>
          <w:sz w:val="24"/>
          <w:szCs w:val="24"/>
        </w:rPr>
        <w:t>________</w:t>
      </w:r>
      <w:r w:rsidR="005E05BB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5E05BB">
        <w:rPr>
          <w:rFonts w:ascii="Times New Roman" w:hAnsi="Times New Roman" w:cs="Times New Roman"/>
          <w:sz w:val="24"/>
          <w:szCs w:val="24"/>
        </w:rPr>
        <w:t>_____</w:t>
      </w:r>
      <w:r w:rsidR="006E6F9E" w:rsidRPr="005E05BB">
        <w:rPr>
          <w:rFonts w:ascii="Times New Roman" w:hAnsi="Times New Roman" w:cs="Times New Roman"/>
          <w:sz w:val="24"/>
          <w:szCs w:val="24"/>
        </w:rPr>
        <w:t xml:space="preserve">_____________ telefono </w:t>
      </w:r>
      <w:r w:rsidRPr="005E05BB">
        <w:rPr>
          <w:rFonts w:ascii="Times New Roman" w:hAnsi="Times New Roman" w:cs="Times New Roman"/>
          <w:sz w:val="24"/>
          <w:szCs w:val="24"/>
        </w:rPr>
        <w:t xml:space="preserve">_________________ mail </w:t>
      </w:r>
      <w:r w:rsidR="00AD18FB" w:rsidRPr="005E05BB">
        <w:rPr>
          <w:rFonts w:ascii="Times New Roman" w:hAnsi="Times New Roman" w:cs="Times New Roman"/>
          <w:sz w:val="24"/>
          <w:szCs w:val="24"/>
        </w:rPr>
        <w:t>_____________</w:t>
      </w:r>
      <w:r w:rsidRPr="005E05BB">
        <w:rPr>
          <w:rFonts w:ascii="Times New Roman" w:hAnsi="Times New Roman" w:cs="Times New Roman"/>
          <w:sz w:val="24"/>
          <w:szCs w:val="24"/>
        </w:rPr>
        <w:t xml:space="preserve">_______________________________ in qualità di legale rappresentante </w:t>
      </w:r>
      <w:r w:rsidR="005E05BB">
        <w:rPr>
          <w:rFonts w:ascii="Times New Roman" w:hAnsi="Times New Roman" w:cs="Times New Roman"/>
          <w:sz w:val="24"/>
          <w:szCs w:val="24"/>
        </w:rPr>
        <w:t>di ____________</w:t>
      </w:r>
      <w:r w:rsidR="00AD18FB" w:rsidRPr="005E05BB">
        <w:rPr>
          <w:rFonts w:ascii="Times New Roman" w:hAnsi="Times New Roman" w:cs="Times New Roman"/>
          <w:sz w:val="24"/>
          <w:szCs w:val="24"/>
        </w:rPr>
        <w:t>____________</w:t>
      </w:r>
      <w:r w:rsidRPr="005E05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E05BB" w:rsidRDefault="005E05BB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7" w:rsidRDefault="00CC3E67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PRESO ATTO</w:t>
      </w:r>
    </w:p>
    <w:p w:rsidR="005E05BB" w:rsidRPr="005E05BB" w:rsidRDefault="005E05BB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che la Commissione Europea con il proprio Regolamento (UE) n. 1407/2013 del 18 dicembre 2013</w:t>
      </w:r>
      <w:r w:rsidR="00985200" w:rsidRPr="005E05BB">
        <w:rPr>
          <w:rFonts w:ascii="Times New Roman" w:hAnsi="Times New Roman" w:cs="Times New Roman"/>
          <w:sz w:val="24"/>
          <w:szCs w:val="24"/>
        </w:rPr>
        <w:t>, Pubblicato nella G.U.U.E. 24 dicembre 2013, n. L 352,</w:t>
      </w:r>
      <w:r w:rsidRPr="005E05BB">
        <w:rPr>
          <w:rFonts w:ascii="Times New Roman" w:hAnsi="Times New Roman" w:cs="Times New Roman"/>
          <w:sz w:val="24"/>
          <w:szCs w:val="24"/>
        </w:rPr>
        <w:t xml:space="preserve"> ha stabilito: </w:t>
      </w:r>
    </w:p>
    <w:p w:rsidR="00CC3E67" w:rsidRPr="005E05BB" w:rsidRDefault="00CC3E67" w:rsidP="005E05BB">
      <w:pPr>
        <w:pStyle w:val="Paragrafoelenco"/>
        <w:numPr>
          <w:ilvl w:val="0"/>
          <w:numId w:val="1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l’importo massimo complessivo di aiuti pubblici </w:t>
      </w:r>
      <w:r w:rsidR="0081454B" w:rsidRPr="005E05BB">
        <w:rPr>
          <w:rFonts w:ascii="Times New Roman" w:hAnsi="Times New Roman" w:cs="Times New Roman"/>
          <w:sz w:val="24"/>
          <w:szCs w:val="24"/>
        </w:rPr>
        <w:t>in regime di</w:t>
      </w:r>
      <w:r w:rsidR="0081454B" w:rsidRPr="005E05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che possono essere concessi a un’impresa unica nell’arco di tre esercizi finanziari </w:t>
      </w:r>
      <w:r w:rsidR="00AD18FB" w:rsidRPr="005E05BB">
        <w:rPr>
          <w:rFonts w:ascii="Times New Roman" w:hAnsi="Times New Roman" w:cs="Times New Roman"/>
          <w:sz w:val="24"/>
          <w:szCs w:val="24"/>
        </w:rPr>
        <w:t>–</w:t>
      </w:r>
      <w:r w:rsidRPr="005E05BB">
        <w:rPr>
          <w:rFonts w:ascii="Times New Roman" w:hAnsi="Times New Roman" w:cs="Times New Roman"/>
          <w:sz w:val="24"/>
          <w:szCs w:val="24"/>
        </w:rPr>
        <w:t xml:space="preserve"> senza</w:t>
      </w:r>
      <w:r w:rsidR="00AD18FB" w:rsidRPr="005E05BB">
        <w:rPr>
          <w:rFonts w:ascii="Times New Roman" w:hAnsi="Times New Roman" w:cs="Times New Roman"/>
          <w:sz w:val="24"/>
          <w:szCs w:val="24"/>
        </w:rPr>
        <w:t xml:space="preserve"> </w:t>
      </w:r>
      <w:r w:rsidRPr="005E05BB">
        <w:rPr>
          <w:rFonts w:ascii="Times New Roman" w:hAnsi="Times New Roman" w:cs="Times New Roman"/>
          <w:sz w:val="24"/>
          <w:szCs w:val="24"/>
        </w:rPr>
        <w:t xml:space="preserve">la preventiva notifica ed autorizzazione da parte della Commissione Europea </w:t>
      </w:r>
      <w:r w:rsidR="00AD18FB" w:rsidRPr="005E05BB">
        <w:rPr>
          <w:rFonts w:ascii="Times New Roman" w:hAnsi="Times New Roman" w:cs="Times New Roman"/>
          <w:sz w:val="24"/>
          <w:szCs w:val="24"/>
        </w:rPr>
        <w:t>–</w:t>
      </w:r>
      <w:r w:rsidRPr="005E05BB">
        <w:rPr>
          <w:rFonts w:ascii="Times New Roman" w:hAnsi="Times New Roman" w:cs="Times New Roman"/>
          <w:sz w:val="24"/>
          <w:szCs w:val="24"/>
        </w:rPr>
        <w:t xml:space="preserve"> è</w:t>
      </w:r>
      <w:r w:rsidR="00AD18FB" w:rsidRPr="005E05BB">
        <w:rPr>
          <w:rFonts w:ascii="Times New Roman" w:hAnsi="Times New Roman" w:cs="Times New Roman"/>
          <w:sz w:val="24"/>
          <w:szCs w:val="24"/>
        </w:rPr>
        <w:t xml:space="preserve"> </w:t>
      </w:r>
      <w:r w:rsidRPr="005E05BB">
        <w:rPr>
          <w:rFonts w:ascii="Times New Roman" w:hAnsi="Times New Roman" w:cs="Times New Roman"/>
          <w:sz w:val="24"/>
          <w:szCs w:val="24"/>
        </w:rPr>
        <w:t xml:space="preserve">pari a € 200.000,00 (€ 100.000,00 se l’impresa opera nel settore del trasporto di merci su strada per conto terzi); </w:t>
      </w:r>
    </w:p>
    <w:p w:rsidR="00CC3E67" w:rsidRPr="005E05BB" w:rsidRDefault="00CC3E67" w:rsidP="005E05BB">
      <w:pPr>
        <w:pStyle w:val="Paragrafoelenco"/>
        <w:numPr>
          <w:ilvl w:val="0"/>
          <w:numId w:val="1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gli 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>”</w:t>
      </w:r>
      <w:r w:rsidR="005E05BB">
        <w:rPr>
          <w:rFonts w:ascii="Times New Roman" w:hAnsi="Times New Roman" w:cs="Times New Roman"/>
          <w:sz w:val="24"/>
          <w:szCs w:val="24"/>
        </w:rPr>
        <w:t xml:space="preserve"> </w:t>
      </w:r>
      <w:r w:rsidRPr="005E05BB">
        <w:rPr>
          <w:rFonts w:ascii="Times New Roman" w:hAnsi="Times New Roman" w:cs="Times New Roman"/>
          <w:sz w:val="24"/>
          <w:szCs w:val="24"/>
        </w:rPr>
        <w:t xml:space="preserve">sono considerati concessi nel momento in cui all’impresa è accordato il diritto di ricevere gli aiuti, indipendentemente dalla data di erogazione degli aiuti all’impresa; </w:t>
      </w:r>
    </w:p>
    <w:p w:rsidR="00CC3E67" w:rsidRPr="005E05BB" w:rsidRDefault="00CC3E67" w:rsidP="005E05BB">
      <w:pPr>
        <w:pStyle w:val="Paragrafoelenco"/>
        <w:numPr>
          <w:ilvl w:val="0"/>
          <w:numId w:val="1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gli 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possono essere cumulati (i) con gli 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concessi a norma del Regolamento (UE) n. 360/2012 della Commissione (aiuti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 a imprese che forniscono Servizi di Interesse Economico Generale) nel rispetto del massimale previsto in tale Regolamento e (ii) con gli aiuti </w:t>
      </w:r>
      <w:r w:rsidR="006E6F9E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6E6F9E" w:rsidRPr="005E05BB">
        <w:rPr>
          <w:rFonts w:ascii="Times New Roman" w:hAnsi="Times New Roman" w:cs="Times New Roman"/>
          <w:sz w:val="24"/>
          <w:szCs w:val="24"/>
        </w:rPr>
        <w:t>”</w:t>
      </w:r>
      <w:r w:rsidRPr="005E05BB">
        <w:rPr>
          <w:rFonts w:ascii="Times New Roman" w:hAnsi="Times New Roman" w:cs="Times New Roman"/>
          <w:sz w:val="24"/>
          <w:szCs w:val="24"/>
        </w:rPr>
        <w:t xml:space="preserve"> concessi a norma di altri regolamenti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purché non superino il massimale di € 200.000,00 (€ 100.000,00 se l’impresa opera nel settore del trasporto di merci su strada per conto terzi); </w:t>
      </w:r>
    </w:p>
    <w:p w:rsidR="00CC3E67" w:rsidRPr="005E05BB" w:rsidRDefault="00CC3E67" w:rsidP="005E05BB">
      <w:pPr>
        <w:pStyle w:val="Paragrafoelenco"/>
        <w:numPr>
          <w:ilvl w:val="0"/>
          <w:numId w:val="1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gli 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 non sono cumulabili con aiuti di Stato concessi per gli stessi costi ammissibili o con aiuti di Stato relativi alla stessa misura di finanziamento del rischio se tale </w:t>
      </w:r>
      <w:r w:rsidRPr="005E05BB">
        <w:rPr>
          <w:rFonts w:ascii="Times New Roman" w:hAnsi="Times New Roman" w:cs="Times New Roman"/>
          <w:sz w:val="24"/>
          <w:szCs w:val="24"/>
        </w:rPr>
        <w:lastRenderedPageBreak/>
        <w:t xml:space="preserve">cumulo comporta il superamento dell’intensità di aiuto o dell’importo di aiuto più elevati fissati, per le specifiche circostanze di ogni caso, in un regolamento d’esenzione per categoria o in una decisione della Commissione; gli 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 non concessi per specifici costi ammissibili possono invece essere cumulati con altri aiuti di Stato concessi sulla base di un regolamento di esenzione per categoria o di una decisione della Commissione; </w:t>
      </w:r>
    </w:p>
    <w:p w:rsidR="00CC3E67" w:rsidRPr="005E05BB" w:rsidRDefault="00CC3E67" w:rsidP="005E05BB">
      <w:pPr>
        <w:pStyle w:val="Paragrafoelenco"/>
        <w:numPr>
          <w:ilvl w:val="0"/>
          <w:numId w:val="1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ai fini della determinazione dell’ammontare massimo di € 200.000,00 (€ 100.000,00 se l’impresa opera nel settore del trasporto di merci su strada per conto terzi) devono essere presi in considerazione tutti gli aiuti pubblici, concessi da autorità nazionali, regionali o locali, a prescindere dalla forma dell’aiuto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o dall’obiettivo perseguito e a prescindere dal fatto che l’aiuto concesso sia finanziato interamente o parzialmente con risorse provenienti dall’Unione;  </w:t>
      </w:r>
    </w:p>
    <w:p w:rsidR="00CC3E67" w:rsidRPr="005E05BB" w:rsidRDefault="00CC3E67" w:rsidP="005E05BB">
      <w:pPr>
        <w:pStyle w:val="Paragrafoelenco"/>
        <w:numPr>
          <w:ilvl w:val="0"/>
          <w:numId w:val="1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la disciplina </w:t>
      </w:r>
      <w:r w:rsidR="006E6F9E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6E6F9E" w:rsidRPr="005E05BB">
        <w:rPr>
          <w:rFonts w:ascii="Times New Roman" w:hAnsi="Times New Roman" w:cs="Times New Roman"/>
          <w:sz w:val="24"/>
          <w:szCs w:val="24"/>
        </w:rPr>
        <w:t>”</w:t>
      </w:r>
      <w:r w:rsidRPr="005E05BB">
        <w:rPr>
          <w:rFonts w:ascii="Times New Roman" w:hAnsi="Times New Roman" w:cs="Times New Roman"/>
          <w:sz w:val="24"/>
          <w:szCs w:val="24"/>
        </w:rPr>
        <w:t xml:space="preserve"> di cui al Reg. 1407/2013 non è applicabile: </w:t>
      </w:r>
    </w:p>
    <w:p w:rsidR="00CC3E67" w:rsidRPr="005E05BB" w:rsidRDefault="00CC3E67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agli aiuti concessi a imprese operanti nel settore d</w:t>
      </w:r>
      <w:r w:rsidR="00985200" w:rsidRPr="005E05BB">
        <w:rPr>
          <w:rFonts w:ascii="Times New Roman" w:hAnsi="Times New Roman" w:cs="Times New Roman"/>
          <w:sz w:val="24"/>
          <w:szCs w:val="24"/>
        </w:rPr>
        <w:t xml:space="preserve">ella pesca e dell’acquacoltura </w:t>
      </w:r>
      <w:r w:rsidRPr="005E05BB">
        <w:rPr>
          <w:rFonts w:ascii="Times New Roman" w:hAnsi="Times New Roman" w:cs="Times New Roman"/>
          <w:sz w:val="24"/>
          <w:szCs w:val="24"/>
        </w:rPr>
        <w:t xml:space="preserve">per i quali esiste una disciplina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ad hoc (Reg. 717/2014); </w:t>
      </w:r>
    </w:p>
    <w:p w:rsidR="00CC3E67" w:rsidRPr="005E05BB" w:rsidRDefault="00CC3E67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agli aiuti concessi a imprese operanti nel settore della produzione primaria dei prodotti agricoli per i quali esiste una disciplina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ad hoc (Reg. 1408/2013); </w:t>
      </w:r>
    </w:p>
    <w:p w:rsidR="00CC3E67" w:rsidRPr="005E05BB" w:rsidRDefault="00CC3E67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agli aiuti concessi a imprese operanti nel settore della trasformazione e commercializzazione di prodotti agricoli, quando l’importo dell’aiuto è fissato in base al prezzo o al quantitativo di tali prodotti acquistati da produttori primari o immessi sul mercato dalle imprese interessate, oppure quando l’aiuto è subordinato al fatto di venire parzialmente o interamente trasferito a produttori primari; </w:t>
      </w:r>
    </w:p>
    <w:p w:rsidR="00CC3E67" w:rsidRPr="005E05BB" w:rsidRDefault="00CC3E67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agli aiuti all’esportazione (si intendono tali quelli direttamente legati alle quantità esportate, alla costituzione e al funzionamento di una rete di distribuzione o alle spese correnti connesse all’attività di esportazione; non rientrano normalmente negli aiuti all’esportazione gli aiuti inerenti ai costi di partecipazione a fiere commerciali o quelli per studi o servizi di consulenza, necessari per il lancio di un nuovo prodotto o di un prodotto già esistente su un nuovo mercato); </w:t>
      </w:r>
    </w:p>
    <w:p w:rsidR="00CC3E67" w:rsidRPr="005E05BB" w:rsidRDefault="00CC3E67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agli aiuti subordinati all’impiego preferenziale di prodotti interni rispetto ai prodotti d’importazione; </w:t>
      </w:r>
    </w:p>
    <w:p w:rsidR="00CC3E67" w:rsidRPr="005E05BB" w:rsidRDefault="007B075B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agli aiuti “non trasparenti”</w:t>
      </w:r>
      <w:r w:rsidR="00CC3E67" w:rsidRPr="005E0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E67" w:rsidRPr="005E05BB" w:rsidRDefault="00CC3E67" w:rsidP="005E05BB">
      <w:pPr>
        <w:pStyle w:val="Paragrafoelenco"/>
        <w:numPr>
          <w:ilvl w:val="0"/>
          <w:numId w:val="2"/>
        </w:num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lastRenderedPageBreak/>
        <w:t xml:space="preserve">che nel caso in cui la concessione di nuovi aiuti </w:t>
      </w:r>
      <w:r w:rsidR="006E6F9E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6E6F9E" w:rsidRPr="005E05BB">
        <w:rPr>
          <w:rFonts w:ascii="Times New Roman" w:hAnsi="Times New Roman" w:cs="Times New Roman"/>
          <w:sz w:val="24"/>
          <w:szCs w:val="24"/>
        </w:rPr>
        <w:t>”</w:t>
      </w:r>
      <w:r w:rsidRPr="005E05BB">
        <w:rPr>
          <w:rFonts w:ascii="Times New Roman" w:hAnsi="Times New Roman" w:cs="Times New Roman"/>
          <w:sz w:val="24"/>
          <w:szCs w:val="24"/>
        </w:rPr>
        <w:t xml:space="preserve"> comporti il superamento della soglia di € 200.000,00 (€ 100.000,00 se l’impresa opera nel settore del trasporto di merci su strada per conto terzi), nessuna delle nuove misure di aiuto può beneficiare della disciplina del Reg.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="00AD18FB" w:rsidRPr="005E05BB">
        <w:rPr>
          <w:rFonts w:ascii="Times New Roman" w:hAnsi="Times New Roman" w:cs="Times New Roman"/>
          <w:sz w:val="24"/>
          <w:szCs w:val="24"/>
        </w:rPr>
        <w:t xml:space="preserve">(UE) </w:t>
      </w:r>
      <w:r w:rsidRPr="005E05BB">
        <w:rPr>
          <w:rFonts w:ascii="Times New Roman" w:hAnsi="Times New Roman" w:cs="Times New Roman"/>
          <w:sz w:val="24"/>
          <w:szCs w:val="24"/>
        </w:rPr>
        <w:t xml:space="preserve">1407/2013;  </w:t>
      </w:r>
    </w:p>
    <w:p w:rsidR="00CC3E67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 richiam</w:t>
      </w:r>
      <w:r w:rsidR="0054641F" w:rsidRPr="005E05BB">
        <w:rPr>
          <w:rFonts w:ascii="Times New Roman" w:hAnsi="Times New Roman" w:cs="Times New Roman"/>
          <w:sz w:val="24"/>
          <w:szCs w:val="24"/>
        </w:rPr>
        <w:t>ate dall’art. 76 del d</w:t>
      </w:r>
      <w:r w:rsidR="00AD18FB" w:rsidRPr="005E05BB">
        <w:rPr>
          <w:rFonts w:ascii="Times New Roman" w:hAnsi="Times New Roman" w:cs="Times New Roman"/>
          <w:sz w:val="24"/>
          <w:szCs w:val="24"/>
        </w:rPr>
        <w:t>.P.R. 445/</w:t>
      </w:r>
      <w:r w:rsidRPr="005E05BB">
        <w:rPr>
          <w:rFonts w:ascii="Times New Roman" w:hAnsi="Times New Roman" w:cs="Times New Roman"/>
          <w:sz w:val="24"/>
          <w:szCs w:val="24"/>
        </w:rPr>
        <w:t>2000</w:t>
      </w:r>
      <w:r w:rsidR="00985200" w:rsidRPr="005E05BB">
        <w:rPr>
          <w:rFonts w:ascii="Times New Roman" w:hAnsi="Times New Roman" w:cs="Times New Roman"/>
          <w:sz w:val="24"/>
          <w:szCs w:val="24"/>
        </w:rPr>
        <w:t>,</w:t>
      </w:r>
    </w:p>
    <w:p w:rsidR="005E05BB" w:rsidRPr="005E05BB" w:rsidRDefault="005E05BB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E67" w:rsidRDefault="00CC3E67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E05BB" w:rsidRPr="005E05BB" w:rsidRDefault="005E05BB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41F" w:rsidRPr="005E05BB" w:rsidRDefault="0054641F" w:rsidP="005E05BB">
      <w:pPr>
        <w:spacing w:after="120" w:line="288" w:lineRule="auto"/>
        <w:ind w:left="-426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preso atto di quanto comunicato dagli altri enti ad esso collegati</w:t>
      </w:r>
      <w:r w:rsidRPr="005E05BB">
        <w:rPr>
          <w:rFonts w:ascii="Times New Roman" w:hAnsi="Times New Roman" w:cs="Times New Roman"/>
          <w:sz w:val="24"/>
          <w:szCs w:val="24"/>
        </w:rPr>
        <w:t xml:space="preserve"> </w:t>
      </w:r>
      <w:r w:rsidR="006E6F9E" w:rsidRPr="005E05BB">
        <w:rPr>
          <w:rFonts w:ascii="Times New Roman" w:hAnsi="Times New Roman" w:cs="Times New Roman"/>
          <w:b/>
          <w:sz w:val="24"/>
          <w:szCs w:val="24"/>
        </w:rPr>
        <w:t>nell’ambito dell’</w:t>
      </w:r>
      <w:r w:rsidRPr="005E05BB">
        <w:rPr>
          <w:rFonts w:ascii="Times New Roman" w:hAnsi="Times New Roman" w:cs="Times New Roman"/>
          <w:b/>
          <w:sz w:val="24"/>
          <w:szCs w:val="24"/>
        </w:rPr>
        <w:t>“impresa unica”</w:t>
      </w:r>
      <w:r w:rsidR="00FB6D87" w:rsidRPr="005E05BB">
        <w:rPr>
          <w:rFonts w:ascii="Times New Roman" w:hAnsi="Times New Roman" w:cs="Times New Roman"/>
          <w:b/>
          <w:sz w:val="24"/>
          <w:szCs w:val="24"/>
        </w:rPr>
        <w:t xml:space="preserve"> (eventuale)</w:t>
      </w:r>
    </w:p>
    <w:p w:rsidR="00CC3E67" w:rsidRPr="005E05BB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che </w:t>
      </w:r>
      <w:r w:rsidR="00985200" w:rsidRPr="005E05BB">
        <w:rPr>
          <w:rFonts w:ascii="Times New Roman" w:hAnsi="Times New Roman" w:cs="Times New Roman"/>
          <w:sz w:val="24"/>
          <w:szCs w:val="24"/>
        </w:rPr>
        <w:t>l’ente</w:t>
      </w:r>
      <w:r w:rsidR="0054641F" w:rsidRPr="005E05BB">
        <w:rPr>
          <w:rFonts w:ascii="Times New Roman" w:hAnsi="Times New Roman" w:cs="Times New Roman"/>
          <w:sz w:val="24"/>
          <w:szCs w:val="24"/>
        </w:rPr>
        <w:t>,</w:t>
      </w:r>
      <w:r w:rsidRPr="005E05BB">
        <w:rPr>
          <w:rFonts w:ascii="Times New Roman" w:hAnsi="Times New Roman" w:cs="Times New Roman"/>
          <w:sz w:val="24"/>
          <w:szCs w:val="24"/>
        </w:rPr>
        <w:t xml:space="preserve"> congiuntamente con </w:t>
      </w:r>
      <w:r w:rsidR="00985200" w:rsidRPr="005E05BB">
        <w:rPr>
          <w:rFonts w:ascii="Times New Roman" w:hAnsi="Times New Roman" w:cs="Times New Roman"/>
          <w:sz w:val="24"/>
          <w:szCs w:val="24"/>
        </w:rPr>
        <w:t>gli</w:t>
      </w:r>
      <w:r w:rsidRPr="005E05BB">
        <w:rPr>
          <w:rFonts w:ascii="Times New Roman" w:hAnsi="Times New Roman" w:cs="Times New Roman"/>
          <w:sz w:val="24"/>
          <w:szCs w:val="24"/>
        </w:rPr>
        <w:t xml:space="preserve"> altr</w:t>
      </w:r>
      <w:r w:rsidR="00985200" w:rsidRPr="005E05BB">
        <w:rPr>
          <w:rFonts w:ascii="Times New Roman" w:hAnsi="Times New Roman" w:cs="Times New Roman"/>
          <w:sz w:val="24"/>
          <w:szCs w:val="24"/>
        </w:rPr>
        <w:t>i</w:t>
      </w:r>
      <w:r w:rsidRPr="005E05BB">
        <w:rPr>
          <w:rFonts w:ascii="Times New Roman" w:hAnsi="Times New Roman" w:cs="Times New Roman"/>
          <w:sz w:val="24"/>
          <w:szCs w:val="24"/>
        </w:rPr>
        <w:t xml:space="preserve"> </w:t>
      </w:r>
      <w:r w:rsidR="00985200" w:rsidRPr="005E05BB">
        <w:rPr>
          <w:rFonts w:ascii="Times New Roman" w:hAnsi="Times New Roman" w:cs="Times New Roman"/>
          <w:sz w:val="24"/>
          <w:szCs w:val="24"/>
        </w:rPr>
        <w:t xml:space="preserve">enti </w:t>
      </w:r>
      <w:r w:rsidRPr="005E05BB">
        <w:rPr>
          <w:rFonts w:ascii="Times New Roman" w:hAnsi="Times New Roman" w:cs="Times New Roman"/>
          <w:sz w:val="24"/>
          <w:szCs w:val="24"/>
        </w:rPr>
        <w:t>ad ess</w:t>
      </w:r>
      <w:r w:rsidR="00985200" w:rsidRPr="005E05BB">
        <w:rPr>
          <w:rFonts w:ascii="Times New Roman" w:hAnsi="Times New Roman" w:cs="Times New Roman"/>
          <w:sz w:val="24"/>
          <w:szCs w:val="24"/>
        </w:rPr>
        <w:t>o</w:t>
      </w:r>
      <w:r w:rsidRPr="005E05BB">
        <w:rPr>
          <w:rFonts w:ascii="Times New Roman" w:hAnsi="Times New Roman" w:cs="Times New Roman"/>
          <w:sz w:val="24"/>
          <w:szCs w:val="24"/>
        </w:rPr>
        <w:t xml:space="preserve"> eventualmente collegat</w:t>
      </w:r>
      <w:r w:rsidR="00985200" w:rsidRPr="005E05BB">
        <w:rPr>
          <w:rFonts w:ascii="Times New Roman" w:hAnsi="Times New Roman" w:cs="Times New Roman"/>
          <w:sz w:val="24"/>
          <w:szCs w:val="24"/>
        </w:rPr>
        <w:t>i</w:t>
      </w:r>
      <w:r w:rsidRPr="005E05BB">
        <w:rPr>
          <w:rFonts w:ascii="Times New Roman" w:hAnsi="Times New Roman" w:cs="Times New Roman"/>
          <w:sz w:val="24"/>
          <w:szCs w:val="24"/>
        </w:rPr>
        <w:t xml:space="preserve"> nell’ambito </w:t>
      </w:r>
      <w:r w:rsidR="0054641F" w:rsidRPr="005E05BB">
        <w:rPr>
          <w:rFonts w:ascii="Times New Roman" w:hAnsi="Times New Roman" w:cs="Times New Roman"/>
          <w:sz w:val="24"/>
          <w:szCs w:val="24"/>
        </w:rPr>
        <w:t xml:space="preserve">dell’ </w:t>
      </w:r>
      <w:r w:rsidRPr="005E05BB">
        <w:rPr>
          <w:rFonts w:ascii="Times New Roman" w:hAnsi="Times New Roman" w:cs="Times New Roman"/>
          <w:sz w:val="24"/>
          <w:szCs w:val="24"/>
        </w:rPr>
        <w:t xml:space="preserve">“impresa unica”, non ha beneficiato, nell’esercizio finanziario in questione nonché nei due esercizi finanziari precedenti, di contributi pubblici, percepiti a titolo di aiuti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 ai sensi del Regolamento (UE) n. 1407/2013 e di altri regolamenti </w:t>
      </w:r>
      <w:r w:rsidR="005A2674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sz w:val="24"/>
          <w:szCs w:val="24"/>
        </w:rPr>
        <w:t xml:space="preserve">, per un importo superiore a € 200.000,00 (€ 100.000,00 se l’impresa opera nel settore del trasporto di merci su strada per conto terzi), in quanto (barrare la casella che interessa): </w:t>
      </w:r>
    </w:p>
    <w:p w:rsidR="00CC3E67" w:rsidRPr="005E05BB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</w:t>
      </w: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b/>
          <w:sz w:val="24"/>
          <w:szCs w:val="24"/>
        </w:rPr>
        <w:t xml:space="preserve">l’impresa non ha percepito aiuti pubblici in </w:t>
      </w:r>
      <w:r w:rsidR="005A2674" w:rsidRPr="005E05BB">
        <w:rPr>
          <w:rFonts w:ascii="Times New Roman" w:hAnsi="Times New Roman" w:cs="Times New Roman"/>
          <w:b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E05BB">
        <w:rPr>
          <w:rFonts w:ascii="Times New Roman" w:hAnsi="Times New Roman" w:cs="Times New Roman"/>
          <w:b/>
          <w:sz w:val="24"/>
          <w:szCs w:val="24"/>
        </w:rPr>
        <w:t>nel corso del periodo sopra indicato</w:t>
      </w:r>
      <w:r w:rsidRPr="005E0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E67" w:rsidRPr="005E05BB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oppure </w:t>
      </w:r>
    </w:p>
    <w:p w:rsidR="00B541AF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</w:t>
      </w: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b/>
          <w:sz w:val="24"/>
          <w:szCs w:val="24"/>
        </w:rPr>
        <w:t xml:space="preserve">nel corso del periodo sopra indicato la suddetta impresa ha beneficiato solo dei seguenti aiuti </w:t>
      </w:r>
      <w:r w:rsidR="005A2674" w:rsidRPr="005E05BB">
        <w:rPr>
          <w:rFonts w:ascii="Times New Roman" w:hAnsi="Times New Roman" w:cs="Times New Roman"/>
          <w:b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b/>
          <w:i/>
          <w:sz w:val="24"/>
          <w:szCs w:val="24"/>
        </w:rPr>
        <w:t>de minimis</w:t>
      </w:r>
      <w:r w:rsidR="005A2674" w:rsidRPr="005E05BB">
        <w:rPr>
          <w:rFonts w:ascii="Times New Roman" w:hAnsi="Times New Roman" w:cs="Times New Roman"/>
          <w:b/>
          <w:sz w:val="24"/>
          <w:szCs w:val="24"/>
        </w:rPr>
        <w:t>”</w:t>
      </w:r>
      <w:r w:rsidRPr="005E05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41AF" w:rsidRDefault="00B541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3E67" w:rsidRPr="005E05BB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400"/>
        <w:gridCol w:w="1701"/>
        <w:gridCol w:w="2204"/>
        <w:gridCol w:w="1699"/>
        <w:gridCol w:w="1694"/>
      </w:tblGrid>
      <w:tr w:rsidR="00AD18FB" w:rsidRPr="005E05BB" w:rsidTr="00B541AF">
        <w:trPr>
          <w:jc w:val="center"/>
        </w:trPr>
        <w:tc>
          <w:tcPr>
            <w:tcW w:w="552" w:type="pct"/>
            <w:vAlign w:val="center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 xml:space="preserve">Impresa cui è stato concesso il </w:t>
            </w:r>
            <w:r w:rsidR="005A2674" w:rsidRPr="005E05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E05BB" w:rsidRPr="005E05B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="005A2674" w:rsidRPr="005E05B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716" w:type="pct"/>
            <w:vAlign w:val="center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Esercizio</w:t>
            </w:r>
          </w:p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Finanziario</w:t>
            </w:r>
          </w:p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Organismo</w:t>
            </w:r>
          </w:p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concedente</w:t>
            </w:r>
          </w:p>
        </w:tc>
        <w:tc>
          <w:tcPr>
            <w:tcW w:w="1127" w:type="pct"/>
            <w:vAlign w:val="center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Provvedimento di concessione e data</w:t>
            </w:r>
          </w:p>
        </w:tc>
        <w:tc>
          <w:tcPr>
            <w:tcW w:w="869" w:type="pct"/>
            <w:vAlign w:val="center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 xml:space="preserve">Reg. UE </w:t>
            </w:r>
            <w:r w:rsidR="005A2674" w:rsidRPr="005E05B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E05BB" w:rsidRPr="005E05B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="005A2674" w:rsidRPr="005E05BB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8D7BCA" w:rsidRPr="005E05BB" w:rsidRDefault="008D7BCA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79D0" w:rsidRPr="005E05BB">
              <w:rPr>
                <w:rFonts w:ascii="Times New Roman" w:hAnsi="Times New Roman" w:cs="Times New Roman"/>
                <w:sz w:val="24"/>
                <w:szCs w:val="24"/>
              </w:rPr>
              <w:t>Reg. n. 1998/2006, per il periodo 2007-2013 oppure Reg. n. 1407/2013, per il periodo 2014-2020)</w:t>
            </w:r>
          </w:p>
        </w:tc>
        <w:tc>
          <w:tcPr>
            <w:tcW w:w="866" w:type="pct"/>
            <w:vAlign w:val="center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sz w:val="24"/>
                <w:szCs w:val="24"/>
              </w:rPr>
              <w:t>Importo della sovvenzione e/o equivalente lordo della sovvenzione (ESL)</w:t>
            </w:r>
          </w:p>
        </w:tc>
      </w:tr>
      <w:tr w:rsidR="00AD18FB" w:rsidRPr="005E05BB" w:rsidTr="00B541AF">
        <w:trPr>
          <w:jc w:val="center"/>
        </w:trPr>
        <w:tc>
          <w:tcPr>
            <w:tcW w:w="552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FB" w:rsidRPr="005E05BB" w:rsidTr="00B541AF">
        <w:trPr>
          <w:jc w:val="center"/>
        </w:trPr>
        <w:tc>
          <w:tcPr>
            <w:tcW w:w="552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FB" w:rsidRPr="005E05BB" w:rsidTr="00B541AF">
        <w:trPr>
          <w:jc w:val="center"/>
        </w:trPr>
        <w:tc>
          <w:tcPr>
            <w:tcW w:w="552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FB" w:rsidRPr="005E05BB" w:rsidTr="00B541AF">
        <w:trPr>
          <w:jc w:val="center"/>
        </w:trPr>
        <w:tc>
          <w:tcPr>
            <w:tcW w:w="552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FB" w:rsidRPr="005E05BB" w:rsidTr="00B541AF">
        <w:trPr>
          <w:jc w:val="center"/>
        </w:trPr>
        <w:tc>
          <w:tcPr>
            <w:tcW w:w="552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8FB" w:rsidRPr="005E05BB" w:rsidTr="00B541AF">
        <w:trPr>
          <w:jc w:val="center"/>
        </w:trPr>
        <w:tc>
          <w:tcPr>
            <w:tcW w:w="552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AD18FB" w:rsidRPr="005E05BB" w:rsidRDefault="00AD18FB" w:rsidP="005E05BB">
            <w:pPr>
              <w:autoSpaceDE w:val="0"/>
              <w:autoSpaceDN w:val="0"/>
              <w:spacing w:after="12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5BB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</w:tr>
    </w:tbl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A66F44" w:rsidRPr="005E05BB" w:rsidRDefault="00A66F44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BB">
        <w:rPr>
          <w:rFonts w:ascii="Times New Roman" w:hAnsi="Times New Roman" w:cs="Times New Roman"/>
          <w:b/>
          <w:sz w:val="24"/>
          <w:szCs w:val="24"/>
        </w:rPr>
        <w:t>IL SOTTOSCRITTO DICHIARA ALTRESÌ</w:t>
      </w:r>
    </w:p>
    <w:p w:rsidR="00CC3E67" w:rsidRPr="005E05BB" w:rsidRDefault="00CC3E67" w:rsidP="005E05BB">
      <w:pPr>
        <w:pStyle w:val="Paragrafoelenco"/>
        <w:numPr>
          <w:ilvl w:val="0"/>
          <w:numId w:val="3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di impegnarsi a comunicare tempestivamente al </w:t>
      </w:r>
      <w:r w:rsidR="008D7BCA" w:rsidRPr="005E05BB">
        <w:rPr>
          <w:rFonts w:ascii="Times New Roman" w:hAnsi="Times New Roman" w:cs="Times New Roman"/>
          <w:sz w:val="24"/>
          <w:szCs w:val="24"/>
        </w:rPr>
        <w:t xml:space="preserve">Dipartimento per le politiche giovanili e il Servizio civile </w:t>
      </w:r>
      <w:r w:rsidR="005A2674" w:rsidRPr="005E05BB">
        <w:rPr>
          <w:rFonts w:ascii="Times New Roman" w:hAnsi="Times New Roman" w:cs="Times New Roman"/>
          <w:sz w:val="24"/>
          <w:szCs w:val="24"/>
        </w:rPr>
        <w:t>universale</w:t>
      </w:r>
      <w:r w:rsidRPr="005E05BB">
        <w:rPr>
          <w:rFonts w:ascii="Times New Roman" w:hAnsi="Times New Roman" w:cs="Times New Roman"/>
          <w:sz w:val="24"/>
          <w:szCs w:val="24"/>
        </w:rPr>
        <w:t xml:space="preserve"> ulteriori contributi/agevolazioni che saranno eventualmente concessi all'impresa prima dell’eventuale comunicazione di ammissione alle agevolazioni; </w:t>
      </w:r>
    </w:p>
    <w:p w:rsidR="00CC3E67" w:rsidRPr="005E05BB" w:rsidRDefault="00CC3E67" w:rsidP="005E05BB">
      <w:pPr>
        <w:pStyle w:val="Paragrafoelenco"/>
        <w:numPr>
          <w:ilvl w:val="0"/>
          <w:numId w:val="3"/>
        </w:numPr>
        <w:spacing w:after="120" w:line="288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>di non aver richiesto e/o ricevuto, per i medesimi costi ammissibili, ulteriori sovvenzioni pubbliche, o di origine pubblica a qualsiasi titolo accordate (principio del divieto di cumulo).</w:t>
      </w:r>
    </w:p>
    <w:p w:rsidR="00CC3E67" w:rsidRPr="005E05BB" w:rsidRDefault="00CC3E67" w:rsidP="005E05BB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lastRenderedPageBreak/>
        <w:t xml:space="preserve">La suddetta organizzazione può pertanto beneficiare, quale aiuto </w:t>
      </w:r>
      <w:r w:rsidR="0054641F" w:rsidRPr="005E05BB">
        <w:rPr>
          <w:rFonts w:ascii="Times New Roman" w:hAnsi="Times New Roman" w:cs="Times New Roman"/>
          <w:sz w:val="24"/>
          <w:szCs w:val="24"/>
        </w:rPr>
        <w:t>“</w:t>
      </w:r>
      <w:r w:rsidR="005E05BB" w:rsidRPr="005E05BB">
        <w:rPr>
          <w:rFonts w:ascii="Times New Roman" w:hAnsi="Times New Roman" w:cs="Times New Roman"/>
          <w:i/>
          <w:sz w:val="24"/>
          <w:szCs w:val="24"/>
        </w:rPr>
        <w:t>de minimis</w:t>
      </w:r>
      <w:r w:rsidR="0054641F" w:rsidRPr="005E05BB">
        <w:rPr>
          <w:rFonts w:ascii="Times New Roman" w:hAnsi="Times New Roman" w:cs="Times New Roman"/>
          <w:sz w:val="24"/>
          <w:szCs w:val="24"/>
        </w:rPr>
        <w:t>”</w:t>
      </w:r>
      <w:r w:rsidRPr="005E05BB">
        <w:rPr>
          <w:rFonts w:ascii="Times New Roman" w:hAnsi="Times New Roman" w:cs="Times New Roman"/>
          <w:sz w:val="24"/>
          <w:szCs w:val="24"/>
        </w:rPr>
        <w:t xml:space="preserve">, del contributo per l’iniziativa sopra evidenziata, senza la necessità che intervenga la preventiva autorizzazione al medesimo contributo da parte della Commissione Europea, il tutto in ossequio a quanto previsto dal menzionato Regolamento (UE) n. 1407/2013.  </w:t>
      </w: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Dichiara inoltre di essere informato, ai sensi e per gli effetti di cui al regolamento </w:t>
      </w:r>
      <w:r w:rsidR="00951A32" w:rsidRPr="005E05BB">
        <w:rPr>
          <w:rFonts w:ascii="Times New Roman" w:hAnsi="Times New Roman" w:cs="Times New Roman"/>
          <w:sz w:val="24"/>
          <w:szCs w:val="24"/>
        </w:rPr>
        <w:t>(</w:t>
      </w:r>
      <w:r w:rsidRPr="005E05BB">
        <w:rPr>
          <w:rFonts w:ascii="Times New Roman" w:hAnsi="Times New Roman" w:cs="Times New Roman"/>
          <w:sz w:val="24"/>
          <w:szCs w:val="24"/>
        </w:rPr>
        <w:t>UE</w:t>
      </w:r>
      <w:r w:rsidR="00951A32" w:rsidRPr="005E05BB">
        <w:rPr>
          <w:rFonts w:ascii="Times New Roman" w:hAnsi="Times New Roman" w:cs="Times New Roman"/>
          <w:sz w:val="24"/>
          <w:szCs w:val="24"/>
        </w:rPr>
        <w:t>)</w:t>
      </w:r>
      <w:r w:rsidRPr="005E05BB">
        <w:rPr>
          <w:rFonts w:ascii="Times New Roman" w:hAnsi="Times New Roman" w:cs="Times New Roman"/>
          <w:sz w:val="24"/>
          <w:szCs w:val="24"/>
        </w:rPr>
        <w:t xml:space="preserve"> 2016/679 e del </w:t>
      </w:r>
      <w:r w:rsidR="0054641F" w:rsidRPr="005E05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4641F" w:rsidRPr="005E05B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E05BB">
        <w:rPr>
          <w:rFonts w:ascii="Times New Roman" w:hAnsi="Times New Roman" w:cs="Times New Roman"/>
          <w:sz w:val="24"/>
          <w:szCs w:val="24"/>
        </w:rPr>
        <w:t xml:space="preserve">. 30 giugno 2003, n. 196, recante “Codice in materia di protezione dei dati personali”, che:  </w:t>
      </w:r>
    </w:p>
    <w:p w:rsidR="00CC3E67" w:rsidRPr="005E05BB" w:rsidRDefault="00CC3E67" w:rsidP="005E05BB">
      <w:pPr>
        <w:pStyle w:val="Paragrafoelenco"/>
        <w:numPr>
          <w:ilvl w:val="0"/>
          <w:numId w:val="4"/>
        </w:numPr>
        <w:spacing w:after="120"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i dati personali raccolti saranno trattati, anche con strumenti informatici, nell’ambito e per le finalità del procedimento per il quale la presente dichiarazione viene resa ed in conformità ad obblighi previsti dalla legge, da un regolamento o dalla normativa comunitaria; il relativo trattamento non richiede il consenso dell’interessato ai sensi del </w:t>
      </w:r>
      <w:r w:rsidR="0054641F" w:rsidRPr="005E05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4641F" w:rsidRPr="005E05B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E05BB">
        <w:rPr>
          <w:rFonts w:ascii="Times New Roman" w:hAnsi="Times New Roman" w:cs="Times New Roman"/>
          <w:sz w:val="24"/>
          <w:szCs w:val="24"/>
        </w:rPr>
        <w:t xml:space="preserve">. </w:t>
      </w:r>
      <w:r w:rsidR="0081454B" w:rsidRPr="005E05BB">
        <w:rPr>
          <w:rFonts w:ascii="Times New Roman" w:hAnsi="Times New Roman" w:cs="Times New Roman"/>
          <w:sz w:val="24"/>
          <w:szCs w:val="24"/>
        </w:rPr>
        <w:t xml:space="preserve">30 giugno 2003, n. 196, come integrato con le modifiche introdotte dal </w:t>
      </w:r>
      <w:r w:rsidR="0054641F" w:rsidRPr="005E05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4641F" w:rsidRPr="005E05B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81454B" w:rsidRPr="005E05BB">
        <w:rPr>
          <w:rFonts w:ascii="Times New Roman" w:hAnsi="Times New Roman" w:cs="Times New Roman"/>
          <w:sz w:val="24"/>
          <w:szCs w:val="24"/>
        </w:rPr>
        <w:t>. 10 agosto 2018, n. 101</w:t>
      </w:r>
      <w:r w:rsidRPr="005E05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3E67" w:rsidRPr="005E05BB" w:rsidRDefault="00CC3E67" w:rsidP="005E05BB">
      <w:pPr>
        <w:pStyle w:val="Paragrafoelenco"/>
        <w:numPr>
          <w:ilvl w:val="0"/>
          <w:numId w:val="4"/>
        </w:numPr>
        <w:spacing w:after="120"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il conferimento dei dati richiesti è obbligatorio e il rifiuto di fornirli comporterà l’impossibilità di proseguire con la liquidazione del contributo; </w:t>
      </w:r>
    </w:p>
    <w:p w:rsidR="00CC3E67" w:rsidRPr="005E05BB" w:rsidRDefault="00CC3E67" w:rsidP="005E05BB">
      <w:pPr>
        <w:pStyle w:val="Paragrafoelenco"/>
        <w:numPr>
          <w:ilvl w:val="0"/>
          <w:numId w:val="4"/>
        </w:numPr>
        <w:spacing w:after="120"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i dati raccolti potranno essere oggetto di comunicazione ad autorità pubbliche nazionali e dell’Unione Europea in conformità ad obblighi di legge; </w:t>
      </w:r>
    </w:p>
    <w:p w:rsidR="00CC3E67" w:rsidRPr="005E05BB" w:rsidRDefault="00CC3E67" w:rsidP="005E05BB">
      <w:pPr>
        <w:pStyle w:val="Paragrafoelenco"/>
        <w:numPr>
          <w:ilvl w:val="0"/>
          <w:numId w:val="4"/>
        </w:numPr>
        <w:spacing w:after="120"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potranno essere esercitati i diritti specificatamente previsti dagli artt. 15 e seguenti del Regolamento UE 2016/679 e art. 7 del </w:t>
      </w:r>
      <w:r w:rsidR="0054641F" w:rsidRPr="005E05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54641F" w:rsidRPr="005E05BB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5E05BB">
        <w:rPr>
          <w:rFonts w:ascii="Times New Roman" w:hAnsi="Times New Roman" w:cs="Times New Roman"/>
          <w:sz w:val="24"/>
          <w:szCs w:val="24"/>
        </w:rPr>
        <w:t>. 196/2003;</w:t>
      </w:r>
    </w:p>
    <w:p w:rsidR="00CC3E67" w:rsidRPr="005E05BB" w:rsidRDefault="00CC3E67" w:rsidP="005E05BB">
      <w:pPr>
        <w:pStyle w:val="Paragrafoelenco"/>
        <w:numPr>
          <w:ilvl w:val="0"/>
          <w:numId w:val="4"/>
        </w:numPr>
        <w:spacing w:after="120" w:line="288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il titolare del trattamento dei dati è </w:t>
      </w:r>
      <w:r w:rsidR="005A2674" w:rsidRPr="005E05BB">
        <w:rPr>
          <w:rFonts w:ascii="Times New Roman" w:hAnsi="Times New Roman" w:cs="Times New Roman"/>
          <w:sz w:val="24"/>
          <w:szCs w:val="24"/>
        </w:rPr>
        <w:t>________</w:t>
      </w:r>
      <w:r w:rsidR="005E05B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2674" w:rsidRPr="005E05BB">
        <w:rPr>
          <w:rFonts w:ascii="Times New Roman" w:hAnsi="Times New Roman" w:cs="Times New Roman"/>
          <w:sz w:val="24"/>
          <w:szCs w:val="24"/>
        </w:rPr>
        <w:t>__</w:t>
      </w:r>
      <w:r w:rsidRPr="005E05BB">
        <w:rPr>
          <w:rFonts w:ascii="Times New Roman" w:hAnsi="Times New Roman" w:cs="Times New Roman"/>
          <w:sz w:val="24"/>
          <w:szCs w:val="24"/>
        </w:rPr>
        <w:t xml:space="preserve"> Il Responsabile interno del trattamento è </w:t>
      </w:r>
      <w:r w:rsidR="005A2674" w:rsidRPr="005E05BB">
        <w:rPr>
          <w:rFonts w:ascii="Times New Roman" w:hAnsi="Times New Roman" w:cs="Times New Roman"/>
          <w:sz w:val="24"/>
          <w:szCs w:val="24"/>
        </w:rPr>
        <w:t>______</w:t>
      </w:r>
      <w:r w:rsidR="005E05BB">
        <w:rPr>
          <w:rFonts w:ascii="Times New Roman" w:hAnsi="Times New Roman" w:cs="Times New Roman"/>
          <w:sz w:val="24"/>
          <w:szCs w:val="24"/>
        </w:rPr>
        <w:t>____________________________</w:t>
      </w:r>
      <w:r w:rsidRPr="005E05BB">
        <w:rPr>
          <w:rFonts w:ascii="Times New Roman" w:hAnsi="Times New Roman" w:cs="Times New Roman"/>
          <w:sz w:val="24"/>
          <w:szCs w:val="24"/>
        </w:rPr>
        <w:t xml:space="preserve"> Dirigente</w:t>
      </w:r>
      <w:r w:rsidR="00985200" w:rsidRPr="005E05BB">
        <w:rPr>
          <w:rFonts w:ascii="Times New Roman" w:hAnsi="Times New Roman" w:cs="Times New Roman"/>
          <w:sz w:val="24"/>
          <w:szCs w:val="24"/>
        </w:rPr>
        <w:t>/C</w:t>
      </w:r>
      <w:r w:rsidR="006E6F9E" w:rsidRPr="005E05BB">
        <w:rPr>
          <w:rFonts w:ascii="Times New Roman" w:hAnsi="Times New Roman" w:cs="Times New Roman"/>
          <w:sz w:val="24"/>
          <w:szCs w:val="24"/>
        </w:rPr>
        <w:t xml:space="preserve">oordinatore di </w:t>
      </w:r>
      <w:r w:rsidR="005E05B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E6F9E" w:rsidRPr="005E05BB">
        <w:rPr>
          <w:rFonts w:ascii="Times New Roman" w:hAnsi="Times New Roman" w:cs="Times New Roman"/>
          <w:sz w:val="24"/>
          <w:szCs w:val="24"/>
        </w:rPr>
        <w:t>__________</w:t>
      </w: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 xml:space="preserve">Data _________________           </w:t>
      </w: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D18FB" w:rsidRPr="005E05BB">
        <w:rPr>
          <w:rFonts w:ascii="Times New Roman" w:hAnsi="Times New Roman" w:cs="Times New Roman"/>
          <w:sz w:val="24"/>
          <w:szCs w:val="24"/>
        </w:rPr>
        <w:t xml:space="preserve">Il </w:t>
      </w:r>
      <w:r w:rsidRPr="005E05BB">
        <w:rPr>
          <w:rFonts w:ascii="Times New Roman" w:hAnsi="Times New Roman" w:cs="Times New Roman"/>
          <w:sz w:val="24"/>
          <w:szCs w:val="24"/>
        </w:rPr>
        <w:t>Legale Rappresentante</w:t>
      </w: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CC3E67" w:rsidRPr="005E05BB" w:rsidRDefault="00CC3E67" w:rsidP="005E05BB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sz w:val="24"/>
          <w:szCs w:val="24"/>
        </w:rPr>
        <w:tab/>
      </w:r>
      <w:r w:rsidRPr="005E05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E05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1D1A0B" w:rsidRPr="005E05BB">
        <w:rPr>
          <w:rFonts w:ascii="Times New Roman" w:hAnsi="Times New Roman" w:cs="Times New Roman"/>
          <w:sz w:val="24"/>
          <w:szCs w:val="24"/>
        </w:rPr>
        <w:t xml:space="preserve">  ____________________________</w:t>
      </w:r>
      <w:r w:rsidR="001D1A0B" w:rsidRPr="005E05BB">
        <w:rPr>
          <w:rFonts w:ascii="Times New Roman" w:hAnsi="Times New Roman" w:cs="Times New Roman"/>
          <w:sz w:val="24"/>
          <w:szCs w:val="24"/>
        </w:rPr>
        <w:tab/>
      </w:r>
    </w:p>
    <w:sectPr w:rsidR="00CC3E67" w:rsidRPr="005E05BB" w:rsidSect="00023BA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44" w:rsidRDefault="00576944" w:rsidP="00AD18FB">
      <w:pPr>
        <w:spacing w:after="0" w:line="240" w:lineRule="auto"/>
      </w:pPr>
      <w:r>
        <w:separator/>
      </w:r>
    </w:p>
  </w:endnote>
  <w:endnote w:type="continuationSeparator" w:id="0">
    <w:p w:rsidR="00576944" w:rsidRDefault="00576944" w:rsidP="00AD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7130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5200" w:rsidRDefault="00985200">
        <w:pPr>
          <w:pStyle w:val="Pidipagina"/>
          <w:jc w:val="center"/>
        </w:pPr>
      </w:p>
      <w:p w:rsidR="00985200" w:rsidRPr="005E05BB" w:rsidRDefault="008D7F0A" w:rsidP="005E05BB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05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5200" w:rsidRPr="005E05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05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1A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E05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5200" w:rsidRDefault="0098520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44" w:rsidRDefault="00576944" w:rsidP="00AD18FB">
      <w:pPr>
        <w:spacing w:after="0" w:line="240" w:lineRule="auto"/>
      </w:pPr>
      <w:r>
        <w:separator/>
      </w:r>
    </w:p>
  </w:footnote>
  <w:footnote w:type="continuationSeparator" w:id="0">
    <w:p w:rsidR="00576944" w:rsidRDefault="00576944" w:rsidP="00AD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38" w:rsidRPr="00D84C97" w:rsidRDefault="00B52738" w:rsidP="00B52738">
    <w:pPr>
      <w:spacing w:after="0" w:line="288" w:lineRule="auto"/>
      <w:jc w:val="center"/>
      <w:rPr>
        <w:rFonts w:ascii="Times New Roman" w:hAnsi="Times New Roman" w:cs="Times New Roman"/>
        <w:szCs w:val="24"/>
      </w:rPr>
    </w:pPr>
    <w:r w:rsidRPr="00487CA4">
      <w:rPr>
        <w:noProof/>
        <w:lang w:eastAsia="it-IT"/>
      </w:rPr>
      <w:drawing>
        <wp:inline distT="0" distB="0" distL="0" distR="0">
          <wp:extent cx="6120130" cy="16973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C97">
      <w:rPr>
        <w:rFonts w:ascii="Times New Roman" w:hAnsi="Times New Roman" w:cs="Times New Roman"/>
        <w:szCs w:val="24"/>
      </w:rPr>
      <w:t>DIPARTIMENTO PER LE POLITICHE GIOVANILI E IL SERVIZIO CIVILE UNIVERSALE</w:t>
    </w:r>
  </w:p>
  <w:p w:rsidR="00B52738" w:rsidRDefault="00B52738" w:rsidP="005E05BB">
    <w:pPr>
      <w:tabs>
        <w:tab w:val="left" w:pos="3828"/>
      </w:tabs>
      <w:spacing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5E05BB" w:rsidRPr="005E05BB" w:rsidRDefault="005E05BB" w:rsidP="005E05BB">
    <w:pPr>
      <w:tabs>
        <w:tab w:val="left" w:pos="3828"/>
      </w:tabs>
      <w:spacing w:after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E05BB">
      <w:rPr>
        <w:rFonts w:ascii="Times New Roman" w:hAnsi="Times New Roman" w:cs="Times New Roman"/>
        <w:b/>
        <w:sz w:val="24"/>
        <w:szCs w:val="24"/>
      </w:rPr>
      <w:t>Allegato</w:t>
    </w:r>
    <w:r w:rsidR="00A66F44" w:rsidRPr="005E05BB">
      <w:rPr>
        <w:rFonts w:ascii="Times New Roman" w:hAnsi="Times New Roman" w:cs="Times New Roman"/>
        <w:b/>
        <w:sz w:val="24"/>
        <w:szCs w:val="24"/>
      </w:rPr>
      <w:t xml:space="preserve"> </w:t>
    </w:r>
    <w:r w:rsidR="001B3133" w:rsidRPr="005E05BB">
      <w:rPr>
        <w:rFonts w:ascii="Times New Roman" w:hAnsi="Times New Roman" w:cs="Times New Roman"/>
        <w:b/>
        <w:sz w:val="24"/>
        <w:szCs w:val="24"/>
      </w:rPr>
      <w:t>16</w:t>
    </w:r>
  </w:p>
  <w:p w:rsidR="00A66F44" w:rsidRPr="005E05BB" w:rsidRDefault="00A66F44" w:rsidP="005E05BB">
    <w:pPr>
      <w:tabs>
        <w:tab w:val="left" w:pos="3828"/>
      </w:tabs>
      <w:spacing w:after="12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5E05BB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C67C6C" w:rsidRPr="005E05BB">
      <w:rPr>
        <w:rFonts w:ascii="Times New Roman" w:hAnsi="Times New Roman" w:cs="Times New Roman"/>
        <w:b/>
        <w:i/>
        <w:sz w:val="24"/>
        <w:szCs w:val="24"/>
      </w:rPr>
      <w:t>Dichiarazione “De m</w:t>
    </w:r>
    <w:r w:rsidRPr="005E05BB">
      <w:rPr>
        <w:rFonts w:ascii="Times New Roman" w:hAnsi="Times New Roman" w:cs="Times New Roman"/>
        <w:b/>
        <w:i/>
        <w:sz w:val="24"/>
        <w:szCs w:val="24"/>
      </w:rPr>
      <w:t xml:space="preserve">inimis”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CCA"/>
    <w:multiLevelType w:val="hybridMultilevel"/>
    <w:tmpl w:val="D3C2556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921A0B"/>
    <w:multiLevelType w:val="hybridMultilevel"/>
    <w:tmpl w:val="8F48467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E82535"/>
    <w:multiLevelType w:val="hybridMultilevel"/>
    <w:tmpl w:val="2682CF7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5884D48"/>
    <w:multiLevelType w:val="hybridMultilevel"/>
    <w:tmpl w:val="230E18F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67"/>
    <w:rsid w:val="00023BA5"/>
    <w:rsid w:val="000C5F19"/>
    <w:rsid w:val="00100B67"/>
    <w:rsid w:val="001A6018"/>
    <w:rsid w:val="001B3133"/>
    <w:rsid w:val="001D1A0B"/>
    <w:rsid w:val="001D258F"/>
    <w:rsid w:val="002129FE"/>
    <w:rsid w:val="0026511C"/>
    <w:rsid w:val="00374018"/>
    <w:rsid w:val="004403AA"/>
    <w:rsid w:val="0049225D"/>
    <w:rsid w:val="004D7B31"/>
    <w:rsid w:val="004F6559"/>
    <w:rsid w:val="0054641F"/>
    <w:rsid w:val="00570436"/>
    <w:rsid w:val="00576944"/>
    <w:rsid w:val="005A2674"/>
    <w:rsid w:val="005E05BB"/>
    <w:rsid w:val="00633BE7"/>
    <w:rsid w:val="006E6F9E"/>
    <w:rsid w:val="007A24EC"/>
    <w:rsid w:val="007B075B"/>
    <w:rsid w:val="007D4E6D"/>
    <w:rsid w:val="007D79D0"/>
    <w:rsid w:val="0081454B"/>
    <w:rsid w:val="008462AF"/>
    <w:rsid w:val="0086457D"/>
    <w:rsid w:val="008B0A46"/>
    <w:rsid w:val="008D7BCA"/>
    <w:rsid w:val="008D7F0A"/>
    <w:rsid w:val="00951A32"/>
    <w:rsid w:val="009630EE"/>
    <w:rsid w:val="009731E9"/>
    <w:rsid w:val="00985200"/>
    <w:rsid w:val="00A66F44"/>
    <w:rsid w:val="00AD18FB"/>
    <w:rsid w:val="00B36877"/>
    <w:rsid w:val="00B52738"/>
    <w:rsid w:val="00B541AF"/>
    <w:rsid w:val="00B8072A"/>
    <w:rsid w:val="00C26416"/>
    <w:rsid w:val="00C67C6C"/>
    <w:rsid w:val="00C85393"/>
    <w:rsid w:val="00CC3E67"/>
    <w:rsid w:val="00DB1D94"/>
    <w:rsid w:val="00DC1D8D"/>
    <w:rsid w:val="00EF2586"/>
    <w:rsid w:val="00F46105"/>
    <w:rsid w:val="00FB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75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AD18FB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18FB"/>
    <w:rPr>
      <w:rFonts w:cs="Times New Roman"/>
      <w:sz w:val="24"/>
      <w:szCs w:val="24"/>
    </w:rPr>
  </w:style>
  <w:style w:type="character" w:customStyle="1" w:styleId="footnotemark">
    <w:name w:val="footnote mark"/>
    <w:hidden/>
    <w:rsid w:val="00AD18FB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85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200"/>
  </w:style>
  <w:style w:type="paragraph" w:styleId="Pidipagina">
    <w:name w:val="footer"/>
    <w:basedOn w:val="Normale"/>
    <w:link w:val="PidipaginaCarattere"/>
    <w:uiPriority w:val="99"/>
    <w:unhideWhenUsed/>
    <w:rsid w:val="00985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200"/>
  </w:style>
  <w:style w:type="character" w:styleId="Rimandonotaapidipagina">
    <w:name w:val="footnote reference"/>
    <w:basedOn w:val="Carpredefinitoparagrafo"/>
    <w:uiPriority w:val="99"/>
    <w:semiHidden/>
    <w:unhideWhenUsed/>
    <w:rsid w:val="008D7B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D7DB-BF3D-435E-9C96-D42F9F84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Marcianò Agostinelli</dc:creator>
  <cp:lastModifiedBy>sargenio</cp:lastModifiedBy>
  <cp:revision>4</cp:revision>
  <dcterms:created xsi:type="dcterms:W3CDTF">2019-03-30T10:44:00Z</dcterms:created>
  <dcterms:modified xsi:type="dcterms:W3CDTF">2019-03-30T12:00:00Z</dcterms:modified>
</cp:coreProperties>
</file>